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3D3E" w14:textId="3F4AB732" w:rsidR="00D60703" w:rsidRPr="0058208B" w:rsidRDefault="00901922" w:rsidP="00D60703">
      <w:pPr>
        <w:jc w:val="center"/>
        <w:rPr>
          <w:rFonts w:ascii="Garamond" w:hAnsi="Garamond"/>
        </w:rPr>
      </w:pPr>
      <w:r>
        <w:rPr>
          <w:rFonts w:ascii="Garamond" w:hAnsi="Garamond"/>
        </w:rPr>
        <w:t>COMUNE DI BRIONE</w:t>
      </w:r>
    </w:p>
    <w:p w14:paraId="2AAA5AC7" w14:textId="77777777" w:rsidR="00D60703" w:rsidRPr="0058208B" w:rsidRDefault="00D60703" w:rsidP="00D60703">
      <w:pPr>
        <w:jc w:val="center"/>
        <w:rPr>
          <w:rFonts w:ascii="Garamond" w:hAnsi="Garamond"/>
        </w:rPr>
      </w:pPr>
      <w:r w:rsidRPr="0058208B">
        <w:rPr>
          <w:rFonts w:ascii="Garamond" w:hAnsi="Garamond"/>
        </w:rPr>
        <w:t>(Provincia di Brescia)</w:t>
      </w:r>
    </w:p>
    <w:p w14:paraId="6469434E" w14:textId="77777777" w:rsidR="00D60703" w:rsidRPr="0058208B" w:rsidRDefault="00D60703" w:rsidP="00D60703">
      <w:pPr>
        <w:jc w:val="center"/>
        <w:rPr>
          <w:rFonts w:ascii="Garamond" w:hAnsi="Garamond"/>
        </w:rPr>
      </w:pPr>
      <w:r w:rsidRPr="0058208B">
        <w:rPr>
          <w:rFonts w:ascii="Garamond" w:hAnsi="Garamond"/>
        </w:rPr>
        <w:t>IL REVISORE DEI CONTI</w:t>
      </w:r>
    </w:p>
    <w:p w14:paraId="3547FE53" w14:textId="112545C7" w:rsidR="00531F11" w:rsidRPr="0058208B" w:rsidRDefault="00531F11" w:rsidP="00531F11">
      <w:pPr>
        <w:jc w:val="center"/>
        <w:rPr>
          <w:rFonts w:ascii="Garamond" w:hAnsi="Garamond"/>
        </w:rPr>
      </w:pPr>
      <w:r w:rsidRPr="0058208B">
        <w:rPr>
          <w:rFonts w:ascii="Garamond" w:hAnsi="Garamond"/>
        </w:rPr>
        <w:t>Dott.</w:t>
      </w:r>
      <w:r w:rsidR="004A1DF5">
        <w:rPr>
          <w:rFonts w:ascii="Garamond" w:hAnsi="Garamond"/>
        </w:rPr>
        <w:t xml:space="preserve"> </w:t>
      </w:r>
      <w:r w:rsidR="00F37F30">
        <w:rPr>
          <w:rFonts w:ascii="Garamond" w:hAnsi="Garamond"/>
        </w:rPr>
        <w:t>Marco Paolini</w:t>
      </w:r>
    </w:p>
    <w:p w14:paraId="25F47AB7" w14:textId="77777777" w:rsidR="00D60703" w:rsidRDefault="00D60703" w:rsidP="00D60703">
      <w:pPr>
        <w:jc w:val="center"/>
      </w:pPr>
      <w:r>
        <w:t>________________________________________________________________________________</w:t>
      </w:r>
    </w:p>
    <w:p w14:paraId="2F1479AD" w14:textId="02E7A6FB" w:rsidR="00957AB5" w:rsidRDefault="00957AB5" w:rsidP="00957AB5">
      <w:pPr>
        <w:spacing w:before="60"/>
        <w:rPr>
          <w:rFonts w:ascii="Garamond" w:hAnsi="Garamond" w:cs="Arial"/>
          <w:b/>
        </w:rPr>
      </w:pPr>
      <w:r>
        <w:rPr>
          <w:rFonts w:ascii="Garamond" w:hAnsi="Garamond" w:cs="Arial"/>
          <w:b/>
        </w:rPr>
        <w:t xml:space="preserve">Verbale n. </w:t>
      </w:r>
      <w:r w:rsidR="00094528">
        <w:rPr>
          <w:rFonts w:ascii="Garamond" w:hAnsi="Garamond" w:cs="Arial"/>
          <w:b/>
        </w:rPr>
        <w:t>11</w:t>
      </w:r>
      <w:r w:rsidR="00DF0070">
        <w:rPr>
          <w:rFonts w:ascii="Garamond" w:hAnsi="Garamond" w:cs="Arial"/>
          <w:b/>
        </w:rPr>
        <w:t>/20</w:t>
      </w:r>
      <w:r w:rsidR="00094528">
        <w:rPr>
          <w:rFonts w:ascii="Garamond" w:hAnsi="Garamond" w:cs="Arial"/>
          <w:b/>
        </w:rPr>
        <w:t>25</w:t>
      </w:r>
    </w:p>
    <w:p w14:paraId="3F8CA85B" w14:textId="77777777" w:rsidR="00957AB5" w:rsidRPr="00D60703" w:rsidRDefault="00957AB5" w:rsidP="004C0D4E">
      <w:pPr>
        <w:rPr>
          <w:rFonts w:ascii="Garamond" w:hAnsi="Garamond" w:cs="Arial"/>
        </w:rPr>
      </w:pPr>
    </w:p>
    <w:p w14:paraId="122381FB" w14:textId="33362506" w:rsidR="00D60703" w:rsidRPr="00D60703" w:rsidRDefault="00D60703" w:rsidP="00D60703">
      <w:pPr>
        <w:jc w:val="both"/>
        <w:rPr>
          <w:rFonts w:ascii="Garamond" w:hAnsi="Garamond"/>
          <w:b/>
        </w:rPr>
      </w:pPr>
      <w:r w:rsidRPr="00D60703">
        <w:rPr>
          <w:rFonts w:ascii="Garamond" w:hAnsi="Garamond" w:cs="Arial"/>
          <w:b/>
        </w:rPr>
        <w:t xml:space="preserve">OGGETTO: PARERE SULLA PROPOSTA DI DELIBERAZIONE </w:t>
      </w:r>
      <w:r w:rsidR="00901922">
        <w:rPr>
          <w:rFonts w:ascii="Garamond" w:hAnsi="Garamond" w:cs="Arial"/>
          <w:b/>
        </w:rPr>
        <w:t>DEL CONSIGLIO COMUNALE</w:t>
      </w:r>
      <w:r w:rsidRPr="00D60703">
        <w:rPr>
          <w:rFonts w:ascii="Garamond" w:hAnsi="Garamond" w:cs="Arial"/>
          <w:b/>
        </w:rPr>
        <w:t xml:space="preserve"> </w:t>
      </w:r>
      <w:r w:rsidR="00901922">
        <w:rPr>
          <w:rFonts w:ascii="Garamond" w:hAnsi="Garamond" w:cs="Arial"/>
          <w:b/>
        </w:rPr>
        <w:t>DEL COMUNE DI BRIONE</w:t>
      </w:r>
      <w:r w:rsidRPr="00D60703">
        <w:rPr>
          <w:rFonts w:ascii="Garamond" w:hAnsi="Garamond" w:cs="Arial"/>
          <w:b/>
        </w:rPr>
        <w:t xml:space="preserve"> AD OGGETTO: “VERIFICA DEGLI EQUILIBRI E ASSESTAMENTO GENERALE DI BILANCIO PER L’ESERCIZIO 20</w:t>
      </w:r>
      <w:r w:rsidR="00531F11">
        <w:rPr>
          <w:rFonts w:ascii="Garamond" w:hAnsi="Garamond" w:cs="Arial"/>
          <w:b/>
        </w:rPr>
        <w:t>2</w:t>
      </w:r>
      <w:r w:rsidR="00094528">
        <w:rPr>
          <w:rFonts w:ascii="Garamond" w:hAnsi="Garamond" w:cs="Arial"/>
          <w:b/>
        </w:rPr>
        <w:t xml:space="preserve">5 </w:t>
      </w:r>
      <w:r w:rsidRPr="00D60703">
        <w:rPr>
          <w:rFonts w:ascii="Garamond" w:hAnsi="Garamond" w:cs="Arial"/>
          <w:b/>
        </w:rPr>
        <w:t>(ARTT. 175, COMMA 8 E 193 DEL D.LGS. N. 267/2000)”.</w:t>
      </w:r>
    </w:p>
    <w:p w14:paraId="773E2244" w14:textId="77777777" w:rsidR="004C0D4E" w:rsidRPr="00F0058D" w:rsidRDefault="004C0D4E" w:rsidP="004C0D4E">
      <w:pPr>
        <w:rPr>
          <w:rFonts w:ascii="Garamond" w:hAnsi="Garamond" w:cs="Arial"/>
        </w:rPr>
      </w:pPr>
    </w:p>
    <w:p w14:paraId="25B591BA" w14:textId="77777777" w:rsidR="004C0D4E" w:rsidRPr="00F0058D" w:rsidRDefault="004C0D4E" w:rsidP="004C0D4E">
      <w:pPr>
        <w:jc w:val="both"/>
        <w:rPr>
          <w:rFonts w:ascii="Garamond" w:hAnsi="Garamond" w:cs="Arial"/>
        </w:rPr>
      </w:pPr>
      <w:r w:rsidRPr="00F0058D">
        <w:rPr>
          <w:rFonts w:ascii="Garamond" w:hAnsi="Garamond" w:cs="Arial"/>
        </w:rPr>
        <w:t xml:space="preserve">Richiamato l’art. 239, comma 1, lettera b) n. 2), del </w:t>
      </w:r>
      <w:proofErr w:type="spellStart"/>
      <w:r w:rsidR="00F0058D" w:rsidRPr="00F0058D">
        <w:rPr>
          <w:rFonts w:ascii="Garamond" w:hAnsi="Garamond" w:cs="Arial"/>
        </w:rPr>
        <w:t>D.Lgs.</w:t>
      </w:r>
      <w:proofErr w:type="spellEnd"/>
      <w:r w:rsidRPr="00F0058D">
        <w:rPr>
          <w:rFonts w:ascii="Garamond" w:hAnsi="Garamond" w:cs="Arial"/>
        </w:rPr>
        <w:t xml:space="preserve"> n. 267/2000, il quale prevede che l’organo di revisione esprima un parere sulla proposta di bilancio di previsione, verifica degli equilibri e variazioni di bilancio, contenente anche un motivato giudizio di congruità, di coerenza e di attendibilità contabile, tenuto conto del parere espresso dal responsabile del servizio finanziario, delle variazioni rispetto all’anno precedente e di ogni altro elemento utile;</w:t>
      </w:r>
    </w:p>
    <w:p w14:paraId="41A44C56" w14:textId="77777777" w:rsidR="004C0D4E" w:rsidRPr="00F0058D" w:rsidRDefault="004C0D4E" w:rsidP="004C0D4E">
      <w:pPr>
        <w:jc w:val="both"/>
        <w:rPr>
          <w:rFonts w:ascii="Garamond" w:hAnsi="Garamond" w:cs="Arial"/>
        </w:rPr>
      </w:pPr>
    </w:p>
    <w:p w14:paraId="571148D2" w14:textId="77777777" w:rsidR="004C0D4E" w:rsidRPr="00F0058D" w:rsidRDefault="004C0D4E" w:rsidP="004C0D4E">
      <w:pPr>
        <w:jc w:val="both"/>
        <w:rPr>
          <w:rFonts w:ascii="Garamond" w:hAnsi="Garamond" w:cs="Arial"/>
        </w:rPr>
      </w:pPr>
      <w:r w:rsidRPr="00F0058D">
        <w:rPr>
          <w:rFonts w:ascii="Garamond" w:hAnsi="Garamond" w:cs="Arial"/>
        </w:rPr>
        <w:t>Richiamati:</w:t>
      </w:r>
    </w:p>
    <w:p w14:paraId="4D23885D" w14:textId="77777777" w:rsidR="00694744" w:rsidRPr="007D2B27" w:rsidRDefault="00694744" w:rsidP="00694744">
      <w:pPr>
        <w:numPr>
          <w:ilvl w:val="0"/>
          <w:numId w:val="2"/>
        </w:numPr>
        <w:ind w:left="284" w:hanging="284"/>
        <w:jc w:val="both"/>
        <w:rPr>
          <w:rFonts w:ascii="Garamond" w:hAnsi="Garamond" w:cs="Arial"/>
        </w:rPr>
      </w:pPr>
      <w:r w:rsidRPr="007D2B27">
        <w:rPr>
          <w:rFonts w:ascii="Garamond" w:hAnsi="Garamond" w:cs="Arial"/>
        </w:rPr>
        <w:t xml:space="preserve">l’art. 175, comma 8, del </w:t>
      </w:r>
      <w:proofErr w:type="spellStart"/>
      <w:r w:rsidRPr="007D2B27">
        <w:rPr>
          <w:rFonts w:ascii="Garamond" w:hAnsi="Garamond" w:cs="Arial"/>
        </w:rPr>
        <w:t>d.Lgs.</w:t>
      </w:r>
      <w:proofErr w:type="spellEnd"/>
      <w:r w:rsidRPr="007D2B27">
        <w:rPr>
          <w:rFonts w:ascii="Garamond" w:hAnsi="Garamond" w:cs="Arial"/>
        </w:rPr>
        <w:t xml:space="preserve"> n. 267/2000, il quale fissa al 31 luglio di ciascun anno il termine per l’assestamento generale di bilancio;</w:t>
      </w:r>
    </w:p>
    <w:p w14:paraId="67333D16" w14:textId="77777777" w:rsidR="00694744" w:rsidRPr="007D2B27" w:rsidRDefault="00694744" w:rsidP="00694744">
      <w:pPr>
        <w:numPr>
          <w:ilvl w:val="0"/>
          <w:numId w:val="2"/>
        </w:numPr>
        <w:ind w:left="284" w:hanging="284"/>
        <w:jc w:val="both"/>
        <w:rPr>
          <w:rFonts w:ascii="Garamond" w:hAnsi="Garamond" w:cs="Arial"/>
        </w:rPr>
      </w:pPr>
      <w:r w:rsidRPr="007D2B27">
        <w:rPr>
          <w:rFonts w:ascii="Garamond" w:hAnsi="Garamond" w:cs="Arial"/>
        </w:rPr>
        <w:t xml:space="preserve">l’art. 193, comma 2 del </w:t>
      </w:r>
      <w:proofErr w:type="spellStart"/>
      <w:r w:rsidRPr="007D2B27">
        <w:rPr>
          <w:rFonts w:ascii="Garamond" w:hAnsi="Garamond" w:cs="Arial"/>
        </w:rPr>
        <w:t>d.Lgs.</w:t>
      </w:r>
      <w:proofErr w:type="spellEnd"/>
      <w:r w:rsidRPr="007D2B27">
        <w:rPr>
          <w:rFonts w:ascii="Garamond" w:hAnsi="Garamond" w:cs="Arial"/>
        </w:rPr>
        <w:t xml:space="preserve"> n. 267/2000, il quale prevede che l’organo consiliare, con periodicità stabilita dal regolamento di contabilità e, comunque, almeno una volta entro il 31 luglio di ciascun anno, effettua la verifica del permanere degli equilibri generali di bilancio e, in caso di accertamento negativo, adotta i provvedimenti necessari per:</w:t>
      </w:r>
    </w:p>
    <w:p w14:paraId="33BB6503" w14:textId="77777777" w:rsidR="00694744" w:rsidRPr="007D2B27" w:rsidRDefault="00694744" w:rsidP="00694744">
      <w:pPr>
        <w:widowControl w:val="0"/>
        <w:autoSpaceDE w:val="0"/>
        <w:autoSpaceDN w:val="0"/>
        <w:adjustRightInd w:val="0"/>
        <w:ind w:left="567" w:hanging="1"/>
        <w:jc w:val="both"/>
        <w:rPr>
          <w:rFonts w:ascii="Garamond" w:hAnsi="Garamond" w:cs="Times"/>
        </w:rPr>
      </w:pPr>
      <w:r w:rsidRPr="007D2B27">
        <w:rPr>
          <w:rFonts w:ascii="Garamond" w:hAnsi="Garamond" w:cs="Arial"/>
        </w:rPr>
        <w:t>a) le misure necessarie a ripristinare il pareggio qualora i dati della gestione finanziaria facciano prevedere un disavanzo, di gestione o di amministrazione, per squilibrio della gestione di competenza, di cassa ovvero della gestione dei residui;</w:t>
      </w:r>
    </w:p>
    <w:p w14:paraId="371EECC5" w14:textId="2F8ACDCA" w:rsidR="00694744" w:rsidRPr="007D2B27" w:rsidRDefault="00694744" w:rsidP="00694744">
      <w:pPr>
        <w:widowControl w:val="0"/>
        <w:autoSpaceDE w:val="0"/>
        <w:autoSpaceDN w:val="0"/>
        <w:adjustRightInd w:val="0"/>
        <w:ind w:left="567" w:hanging="1"/>
        <w:jc w:val="both"/>
        <w:rPr>
          <w:rFonts w:ascii="Garamond" w:hAnsi="Garamond" w:cs="Arial"/>
        </w:rPr>
      </w:pPr>
      <w:r w:rsidRPr="007D2B27">
        <w:rPr>
          <w:rFonts w:ascii="Garamond" w:hAnsi="Garamond" w:cs="Arial"/>
        </w:rPr>
        <w:t>b) i provvedimenti per il ripiano degli eventuali debiti di cui all'articolo 194</w:t>
      </w:r>
    </w:p>
    <w:p w14:paraId="386E22C0" w14:textId="77777777" w:rsidR="00694744" w:rsidRPr="007D2B27" w:rsidRDefault="00694744" w:rsidP="00694744">
      <w:pPr>
        <w:widowControl w:val="0"/>
        <w:autoSpaceDE w:val="0"/>
        <w:autoSpaceDN w:val="0"/>
        <w:adjustRightInd w:val="0"/>
        <w:ind w:left="567" w:hanging="1"/>
        <w:jc w:val="both"/>
        <w:rPr>
          <w:rFonts w:ascii="Garamond" w:hAnsi="Garamond" w:cs="Times"/>
        </w:rPr>
      </w:pPr>
      <w:r w:rsidRPr="007D2B27">
        <w:rPr>
          <w:rFonts w:ascii="Garamond" w:hAnsi="Garamond" w:cs="Arial"/>
        </w:rPr>
        <w:t>c) le iniziative necessarie ad adeguare il fondo crediti di dubbia esigibilità accantonato nel risultato di amministrazione in caso di gravi squilibri riguardanti la gestione dei residui.</w:t>
      </w:r>
    </w:p>
    <w:p w14:paraId="7437E9C7" w14:textId="77777777" w:rsidR="004C0D4E" w:rsidRPr="00F0058D" w:rsidRDefault="004C0D4E" w:rsidP="004C0D4E">
      <w:pPr>
        <w:jc w:val="both"/>
        <w:rPr>
          <w:rFonts w:ascii="Garamond" w:hAnsi="Garamond" w:cs="Arial"/>
        </w:rPr>
      </w:pPr>
    </w:p>
    <w:p w14:paraId="201062D1" w14:textId="3FB748A6" w:rsidR="004C0D4E" w:rsidRPr="00F0058D" w:rsidRDefault="004C0D4E" w:rsidP="004C0D4E">
      <w:pPr>
        <w:jc w:val="both"/>
        <w:rPr>
          <w:rFonts w:ascii="Garamond" w:hAnsi="Garamond" w:cs="Arial"/>
        </w:rPr>
      </w:pPr>
      <w:r w:rsidRPr="00F0058D">
        <w:rPr>
          <w:rFonts w:ascii="Garamond" w:hAnsi="Garamond" w:cs="Arial"/>
        </w:rPr>
        <w:t xml:space="preserve">Esaminata la proposta di deliberazione </w:t>
      </w:r>
      <w:r w:rsidR="00DD6011">
        <w:rPr>
          <w:rFonts w:ascii="Garamond" w:hAnsi="Garamond" w:cs="Arial"/>
        </w:rPr>
        <w:t xml:space="preserve">di </w:t>
      </w:r>
      <w:r w:rsidR="00901922">
        <w:rPr>
          <w:rFonts w:ascii="Garamond" w:hAnsi="Garamond" w:cs="Arial"/>
        </w:rPr>
        <w:t>Consiglio Comunale</w:t>
      </w:r>
      <w:r w:rsidRPr="00F0058D">
        <w:rPr>
          <w:rFonts w:ascii="Garamond" w:hAnsi="Garamond" w:cs="Arial"/>
        </w:rPr>
        <w:t xml:space="preserve"> ad oggetto: </w:t>
      </w:r>
      <w:r w:rsidR="00A266E6" w:rsidRPr="00F0058D">
        <w:rPr>
          <w:rFonts w:ascii="Garamond" w:hAnsi="Garamond" w:cs="Arial"/>
        </w:rPr>
        <w:t xml:space="preserve">Ricognizione sullo stato di </w:t>
      </w:r>
      <w:r w:rsidR="00F0058D" w:rsidRPr="00F0058D">
        <w:rPr>
          <w:rFonts w:ascii="Garamond" w:hAnsi="Garamond" w:cs="Arial"/>
        </w:rPr>
        <w:t>attuazione</w:t>
      </w:r>
      <w:r w:rsidR="00A266E6" w:rsidRPr="00F0058D">
        <w:rPr>
          <w:rFonts w:ascii="Garamond" w:hAnsi="Garamond" w:cs="Arial"/>
        </w:rPr>
        <w:t xml:space="preserve"> dei programmi e s</w:t>
      </w:r>
      <w:r w:rsidRPr="00F0058D">
        <w:rPr>
          <w:rFonts w:ascii="Garamond" w:hAnsi="Garamond" w:cs="Arial"/>
          <w:i/>
        </w:rPr>
        <w:t>alvaguardia degli equilibri di bilancio per l’esercizio 20</w:t>
      </w:r>
      <w:r w:rsidR="00531F11">
        <w:rPr>
          <w:rFonts w:ascii="Garamond" w:hAnsi="Garamond" w:cs="Arial"/>
          <w:i/>
        </w:rPr>
        <w:t>2</w:t>
      </w:r>
      <w:r w:rsidR="00094528">
        <w:rPr>
          <w:rFonts w:ascii="Garamond" w:hAnsi="Garamond" w:cs="Arial"/>
          <w:i/>
        </w:rPr>
        <w:t>5</w:t>
      </w:r>
      <w:r w:rsidRPr="00F0058D">
        <w:rPr>
          <w:rFonts w:ascii="Garamond" w:hAnsi="Garamond" w:cs="Arial"/>
          <w:i/>
        </w:rPr>
        <w:t xml:space="preserve"> (artt. 175, comma 8 e 193 del </w:t>
      </w:r>
      <w:proofErr w:type="spellStart"/>
      <w:r w:rsidR="00F0058D" w:rsidRPr="00F0058D">
        <w:rPr>
          <w:rFonts w:ascii="Garamond" w:hAnsi="Garamond" w:cs="Arial"/>
          <w:i/>
        </w:rPr>
        <w:t>D.Lgs.</w:t>
      </w:r>
      <w:proofErr w:type="spellEnd"/>
      <w:r w:rsidRPr="00F0058D">
        <w:rPr>
          <w:rFonts w:ascii="Garamond" w:hAnsi="Garamond" w:cs="Arial"/>
          <w:i/>
        </w:rPr>
        <w:t xml:space="preserve"> n. 267/2000)” </w:t>
      </w:r>
      <w:r w:rsidRPr="00F0058D">
        <w:rPr>
          <w:rFonts w:ascii="Garamond" w:hAnsi="Garamond" w:cs="Arial"/>
        </w:rPr>
        <w:t>con la quale</w:t>
      </w:r>
      <w:r w:rsidRPr="00F0058D">
        <w:rPr>
          <w:rFonts w:ascii="Garamond" w:hAnsi="Garamond" w:cs="Arial"/>
          <w:i/>
        </w:rPr>
        <w:t>:</w:t>
      </w:r>
    </w:p>
    <w:p w14:paraId="2FABB894" w14:textId="77777777" w:rsidR="004C0D4E" w:rsidRPr="00F0058D" w:rsidRDefault="004C0D4E" w:rsidP="00F0058D">
      <w:pPr>
        <w:pStyle w:val="Paragrafoelenco"/>
        <w:numPr>
          <w:ilvl w:val="0"/>
          <w:numId w:val="6"/>
        </w:numPr>
        <w:jc w:val="both"/>
        <w:rPr>
          <w:rFonts w:ascii="Garamond" w:hAnsi="Garamond" w:cs="Arial"/>
        </w:rPr>
      </w:pPr>
      <w:r w:rsidRPr="00F0058D">
        <w:rPr>
          <w:rFonts w:ascii="Garamond" w:hAnsi="Garamond" w:cs="Arial"/>
        </w:rPr>
        <w:t>viene dato atto del permanere degli equilibri di bilancio, senza necessità di variazioni;</w:t>
      </w:r>
    </w:p>
    <w:p w14:paraId="69D4D8A2" w14:textId="77777777" w:rsidR="004C0D4E" w:rsidRPr="00F0058D" w:rsidRDefault="004C0D4E" w:rsidP="00F0058D">
      <w:pPr>
        <w:pStyle w:val="Paragrafoelenco"/>
        <w:numPr>
          <w:ilvl w:val="0"/>
          <w:numId w:val="6"/>
        </w:numPr>
        <w:jc w:val="both"/>
        <w:rPr>
          <w:rFonts w:ascii="Garamond" w:hAnsi="Garamond" w:cs="Arial"/>
        </w:rPr>
      </w:pPr>
      <w:r w:rsidRPr="00F0058D">
        <w:rPr>
          <w:rFonts w:ascii="Garamond" w:hAnsi="Garamond" w:cs="Arial"/>
        </w:rPr>
        <w:t>non sono stati rilevati debiti fuori bilancio;</w:t>
      </w:r>
    </w:p>
    <w:p w14:paraId="2587BB02" w14:textId="77777777" w:rsidR="004C0D4E" w:rsidRPr="00F0058D" w:rsidRDefault="004C0D4E" w:rsidP="00F0058D">
      <w:pPr>
        <w:pStyle w:val="Paragrafoelenco"/>
        <w:numPr>
          <w:ilvl w:val="0"/>
          <w:numId w:val="6"/>
        </w:numPr>
        <w:jc w:val="both"/>
        <w:rPr>
          <w:rFonts w:ascii="Garamond" w:hAnsi="Garamond" w:cs="Arial"/>
        </w:rPr>
      </w:pPr>
      <w:r w:rsidRPr="00F0058D">
        <w:rPr>
          <w:rFonts w:ascii="Garamond" w:hAnsi="Garamond" w:cs="Arial"/>
        </w:rPr>
        <w:t xml:space="preserve">non sussista una situazione di squilibrio sulla </w:t>
      </w:r>
      <w:r w:rsidRPr="00F0058D">
        <w:rPr>
          <w:rFonts w:ascii="Garamond" w:hAnsi="Garamond" w:cs="Arial"/>
          <w:i/>
        </w:rPr>
        <w:t>gestione di competenza e/o dei residui</w:t>
      </w:r>
      <w:r w:rsidRPr="00F0058D">
        <w:rPr>
          <w:rFonts w:ascii="Garamond" w:hAnsi="Garamond" w:cs="Arial"/>
        </w:rPr>
        <w:t>;</w:t>
      </w:r>
    </w:p>
    <w:p w14:paraId="631E14BD" w14:textId="77777777" w:rsidR="004C0D4E" w:rsidRPr="00F0058D" w:rsidRDefault="004C0D4E" w:rsidP="004C0D4E">
      <w:pPr>
        <w:jc w:val="both"/>
        <w:rPr>
          <w:rFonts w:ascii="Garamond" w:hAnsi="Garamond" w:cs="Arial"/>
        </w:rPr>
      </w:pPr>
    </w:p>
    <w:p w14:paraId="140E8EC6" w14:textId="77777777" w:rsidR="004C0D4E" w:rsidRPr="00F0058D" w:rsidRDefault="004C0D4E" w:rsidP="004C0D4E">
      <w:pPr>
        <w:jc w:val="both"/>
        <w:rPr>
          <w:rFonts w:ascii="Garamond" w:hAnsi="Garamond" w:cs="Arial"/>
        </w:rPr>
      </w:pPr>
      <w:r w:rsidRPr="00F0058D">
        <w:rPr>
          <w:rFonts w:ascii="Garamond" w:hAnsi="Garamond" w:cs="Arial"/>
        </w:rPr>
        <w:t>Vista la documentazione acquisita agli atti dell’ufficio;</w:t>
      </w:r>
    </w:p>
    <w:p w14:paraId="0D87FBED" w14:textId="77777777" w:rsidR="004C0D4E" w:rsidRPr="00F0058D" w:rsidRDefault="004C0D4E" w:rsidP="004C0D4E">
      <w:pPr>
        <w:jc w:val="both"/>
        <w:rPr>
          <w:rFonts w:ascii="Garamond" w:hAnsi="Garamond" w:cs="Arial"/>
        </w:rPr>
      </w:pPr>
      <w:r w:rsidRPr="00F0058D">
        <w:rPr>
          <w:rFonts w:ascii="Garamond" w:hAnsi="Garamond" w:cs="Arial"/>
        </w:rPr>
        <w:t xml:space="preserve">Visto il parere del responsabile del servizio finanziario rilasciato ai sensi dell’art. 153, comma 4, del </w:t>
      </w:r>
      <w:proofErr w:type="spellStart"/>
      <w:r w:rsidRPr="00F0058D">
        <w:rPr>
          <w:rFonts w:ascii="Garamond" w:hAnsi="Garamond" w:cs="Arial"/>
        </w:rPr>
        <w:t>d.Lgs.</w:t>
      </w:r>
      <w:proofErr w:type="spellEnd"/>
      <w:r w:rsidRPr="00F0058D">
        <w:rPr>
          <w:rFonts w:ascii="Garamond" w:hAnsi="Garamond" w:cs="Arial"/>
        </w:rPr>
        <w:t xml:space="preserve"> n. 267/2000;</w:t>
      </w:r>
    </w:p>
    <w:p w14:paraId="34D87D34" w14:textId="77777777" w:rsidR="004C0D4E" w:rsidRPr="00F0058D" w:rsidRDefault="004C0D4E" w:rsidP="004C0D4E">
      <w:pPr>
        <w:jc w:val="both"/>
        <w:rPr>
          <w:rFonts w:ascii="Garamond" w:hAnsi="Garamond" w:cs="Arial"/>
        </w:rPr>
      </w:pPr>
      <w:r w:rsidRPr="00F0058D">
        <w:rPr>
          <w:rFonts w:ascii="Garamond" w:hAnsi="Garamond" w:cs="Arial"/>
        </w:rPr>
        <w:t>Accertato il rispetto del pareggio finanziario e degli equilibri di bilancio dettati dall’ordinamento finanziario e contabile degli enti locali;</w:t>
      </w:r>
    </w:p>
    <w:p w14:paraId="70480004" w14:textId="77777777" w:rsidR="004C0D4E" w:rsidRPr="00F0058D" w:rsidRDefault="004C0D4E" w:rsidP="004C0D4E">
      <w:pPr>
        <w:jc w:val="both"/>
        <w:rPr>
          <w:rFonts w:ascii="Garamond" w:hAnsi="Garamond" w:cs="Arial"/>
        </w:rPr>
      </w:pPr>
    </w:p>
    <w:p w14:paraId="15358846" w14:textId="77777777" w:rsidR="004C0D4E" w:rsidRPr="00F0058D" w:rsidRDefault="004C0D4E" w:rsidP="004C0D4E">
      <w:pPr>
        <w:rPr>
          <w:rFonts w:ascii="Garamond" w:hAnsi="Garamond" w:cs="Arial"/>
        </w:rPr>
      </w:pPr>
      <w:r w:rsidRPr="00F0058D">
        <w:rPr>
          <w:rFonts w:ascii="Garamond" w:hAnsi="Garamond" w:cs="Arial"/>
        </w:rPr>
        <w:t xml:space="preserve">Visto il </w:t>
      </w:r>
      <w:proofErr w:type="spellStart"/>
      <w:r w:rsidRPr="00F0058D">
        <w:rPr>
          <w:rFonts w:ascii="Garamond" w:hAnsi="Garamond" w:cs="Arial"/>
        </w:rPr>
        <w:t>D.Lgs.</w:t>
      </w:r>
      <w:proofErr w:type="spellEnd"/>
      <w:r w:rsidRPr="00F0058D">
        <w:rPr>
          <w:rFonts w:ascii="Garamond" w:hAnsi="Garamond" w:cs="Arial"/>
        </w:rPr>
        <w:t xml:space="preserve"> n. 267/2000;</w:t>
      </w:r>
    </w:p>
    <w:p w14:paraId="41B9B1C8" w14:textId="77777777" w:rsidR="004C0D4E" w:rsidRPr="00F0058D" w:rsidRDefault="004C0D4E" w:rsidP="004C0D4E">
      <w:pPr>
        <w:rPr>
          <w:rFonts w:ascii="Garamond" w:hAnsi="Garamond" w:cs="Arial"/>
        </w:rPr>
      </w:pPr>
      <w:r w:rsidRPr="00F0058D">
        <w:rPr>
          <w:rFonts w:ascii="Garamond" w:hAnsi="Garamond" w:cs="Arial"/>
        </w:rPr>
        <w:t xml:space="preserve">Visto il </w:t>
      </w:r>
      <w:proofErr w:type="spellStart"/>
      <w:r w:rsidRPr="00F0058D">
        <w:rPr>
          <w:rFonts w:ascii="Garamond" w:hAnsi="Garamond" w:cs="Arial"/>
        </w:rPr>
        <w:t>D.Lgs.</w:t>
      </w:r>
      <w:proofErr w:type="spellEnd"/>
      <w:r w:rsidRPr="00F0058D">
        <w:rPr>
          <w:rFonts w:ascii="Garamond" w:hAnsi="Garamond" w:cs="Arial"/>
        </w:rPr>
        <w:t xml:space="preserve"> n. 118/2011;</w:t>
      </w:r>
    </w:p>
    <w:p w14:paraId="0BE62305" w14:textId="77777777" w:rsidR="004C0D4E" w:rsidRPr="00F0058D" w:rsidRDefault="004C0D4E" w:rsidP="004C0D4E">
      <w:pPr>
        <w:rPr>
          <w:rFonts w:ascii="Garamond" w:hAnsi="Garamond" w:cs="Arial"/>
        </w:rPr>
      </w:pPr>
      <w:r w:rsidRPr="00F0058D">
        <w:rPr>
          <w:rFonts w:ascii="Garamond" w:hAnsi="Garamond" w:cs="Arial"/>
        </w:rPr>
        <w:t xml:space="preserve">Visto lo Statuto </w:t>
      </w:r>
      <w:r w:rsidR="00F0058D" w:rsidRPr="00F0058D">
        <w:rPr>
          <w:rFonts w:ascii="Garamond" w:hAnsi="Garamond" w:cs="Arial"/>
        </w:rPr>
        <w:t>dell’Ente</w:t>
      </w:r>
      <w:r w:rsidRPr="00F0058D">
        <w:rPr>
          <w:rFonts w:ascii="Garamond" w:hAnsi="Garamond" w:cs="Arial"/>
        </w:rPr>
        <w:t>;</w:t>
      </w:r>
    </w:p>
    <w:p w14:paraId="16DA36BC" w14:textId="77777777" w:rsidR="004C0D4E" w:rsidRPr="00F0058D" w:rsidRDefault="004C0D4E" w:rsidP="004C0D4E">
      <w:pPr>
        <w:rPr>
          <w:rFonts w:ascii="Garamond" w:hAnsi="Garamond" w:cs="Arial"/>
        </w:rPr>
      </w:pPr>
      <w:r w:rsidRPr="00F0058D">
        <w:rPr>
          <w:rFonts w:ascii="Garamond" w:hAnsi="Garamond" w:cs="Arial"/>
        </w:rPr>
        <w:t>Visto il vigente Regolamento comunale di contabilità;</w:t>
      </w:r>
    </w:p>
    <w:p w14:paraId="4C727B73" w14:textId="77777777" w:rsidR="004C0D4E" w:rsidRPr="00F0058D" w:rsidRDefault="004C0D4E" w:rsidP="004C0D4E">
      <w:pPr>
        <w:rPr>
          <w:rFonts w:ascii="Garamond" w:hAnsi="Garamond" w:cs="Arial"/>
        </w:rPr>
      </w:pPr>
    </w:p>
    <w:p w14:paraId="5EF6CA9C" w14:textId="77777777" w:rsidR="004C0D4E" w:rsidRPr="00F0058D" w:rsidRDefault="004C0D4E" w:rsidP="004C0D4E">
      <w:pPr>
        <w:pStyle w:val="Titolo2"/>
        <w:rPr>
          <w:rFonts w:ascii="Garamond" w:hAnsi="Garamond" w:cs="Arial"/>
          <w:b/>
          <w:bCs/>
          <w:i w:val="0"/>
          <w:iCs w:val="0"/>
        </w:rPr>
      </w:pPr>
      <w:r w:rsidRPr="00F0058D">
        <w:rPr>
          <w:rFonts w:ascii="Garamond" w:hAnsi="Garamond" w:cs="Arial"/>
          <w:b/>
          <w:bCs/>
          <w:i w:val="0"/>
          <w:iCs w:val="0"/>
        </w:rPr>
        <w:t>ESPRIME</w:t>
      </w:r>
    </w:p>
    <w:p w14:paraId="3CC7A8BA" w14:textId="77777777" w:rsidR="004C0D4E" w:rsidRPr="00F0058D" w:rsidRDefault="004C0D4E" w:rsidP="004C0D4E">
      <w:pPr>
        <w:rPr>
          <w:rFonts w:ascii="Garamond" w:hAnsi="Garamond" w:cs="Arial"/>
        </w:rPr>
      </w:pPr>
    </w:p>
    <w:p w14:paraId="52A0AA2E" w14:textId="7E80D57B" w:rsidR="004C0D4E" w:rsidRPr="00F0058D" w:rsidRDefault="00F0058D" w:rsidP="00B7602F">
      <w:pPr>
        <w:jc w:val="both"/>
        <w:rPr>
          <w:rFonts w:ascii="Garamond" w:hAnsi="Garamond" w:cs="Arial"/>
        </w:rPr>
      </w:pPr>
      <w:r>
        <w:rPr>
          <w:rFonts w:ascii="Garamond" w:hAnsi="Garamond" w:cs="Arial"/>
        </w:rPr>
        <w:lastRenderedPageBreak/>
        <w:t xml:space="preserve">parere </w:t>
      </w:r>
      <w:r w:rsidR="004C0D4E" w:rsidRPr="00F0058D">
        <w:rPr>
          <w:rFonts w:ascii="Garamond" w:hAnsi="Garamond" w:cs="Arial"/>
        </w:rPr>
        <w:t>FAVOREVOLE</w:t>
      </w:r>
      <w:r>
        <w:rPr>
          <w:rFonts w:ascii="Garamond" w:hAnsi="Garamond" w:cs="Arial"/>
        </w:rPr>
        <w:t xml:space="preserve"> </w:t>
      </w:r>
      <w:r w:rsidR="004C0D4E" w:rsidRPr="00F0058D">
        <w:rPr>
          <w:rFonts w:ascii="Garamond" w:hAnsi="Garamond" w:cs="Arial"/>
        </w:rPr>
        <w:t xml:space="preserve">sulla proposta di deliberazione in oggetto </w:t>
      </w:r>
      <w:r w:rsidR="00B7602F" w:rsidRPr="00F0058D">
        <w:rPr>
          <w:rFonts w:ascii="Garamond" w:hAnsi="Garamond" w:cs="Arial"/>
        </w:rPr>
        <w:t xml:space="preserve">in quanto i dati della gestione finanziaria fanno prevedere il rispetto degli equilibri di bilancio e poiché, sulla base delle attestazioni rese dai Responsabili dei Servizi, non sussistono debiti fuori bilancio </w:t>
      </w:r>
      <w:r w:rsidR="00446AE1" w:rsidRPr="00F0058D">
        <w:rPr>
          <w:rFonts w:ascii="Garamond" w:hAnsi="Garamond" w:cs="Arial"/>
        </w:rPr>
        <w:t>né</w:t>
      </w:r>
      <w:r w:rsidR="00B7602F" w:rsidRPr="00F0058D">
        <w:rPr>
          <w:rFonts w:ascii="Garamond" w:hAnsi="Garamond" w:cs="Arial"/>
        </w:rPr>
        <w:t xml:space="preserve"> altre condizioni che possano comportare la necessità di adozione dei provvedimenti di riequilibrio.</w:t>
      </w:r>
    </w:p>
    <w:p w14:paraId="78AD92E7" w14:textId="77777777" w:rsidR="00A266E6" w:rsidRPr="00F0058D" w:rsidRDefault="00A266E6" w:rsidP="004C0D4E">
      <w:pPr>
        <w:rPr>
          <w:rFonts w:ascii="Garamond" w:hAnsi="Garamond" w:cs="Arial"/>
        </w:rPr>
      </w:pPr>
    </w:p>
    <w:p w14:paraId="35E9B336" w14:textId="4FA0CF22" w:rsidR="004C0D4E" w:rsidRPr="00F0058D" w:rsidRDefault="00901922" w:rsidP="004C0D4E">
      <w:pPr>
        <w:rPr>
          <w:rFonts w:ascii="Garamond" w:hAnsi="Garamond" w:cs="Arial"/>
        </w:rPr>
      </w:pPr>
      <w:r>
        <w:rPr>
          <w:rFonts w:ascii="Garamond" w:hAnsi="Garamond" w:cs="Arial"/>
        </w:rPr>
        <w:t>Brione</w:t>
      </w:r>
      <w:r w:rsidR="0055137A">
        <w:rPr>
          <w:rFonts w:ascii="Garamond" w:hAnsi="Garamond" w:cs="Arial"/>
        </w:rPr>
        <w:t xml:space="preserve">, </w:t>
      </w:r>
      <w:r w:rsidR="00094528">
        <w:rPr>
          <w:rFonts w:ascii="Garamond" w:hAnsi="Garamond" w:cs="Arial"/>
        </w:rPr>
        <w:t>___</w:t>
      </w:r>
      <w:r w:rsidR="00F37F30">
        <w:rPr>
          <w:rFonts w:ascii="Garamond" w:hAnsi="Garamond" w:cs="Arial"/>
        </w:rPr>
        <w:t>/07/2024</w:t>
      </w:r>
    </w:p>
    <w:p w14:paraId="618CEBDE" w14:textId="77777777" w:rsidR="00045C33" w:rsidRDefault="00045C33" w:rsidP="00F0058D">
      <w:pPr>
        <w:tabs>
          <w:tab w:val="center" w:pos="6804"/>
        </w:tabs>
        <w:rPr>
          <w:rFonts w:ascii="Garamond" w:hAnsi="Garamond" w:cs="Arial"/>
        </w:rPr>
      </w:pPr>
    </w:p>
    <w:p w14:paraId="15397026" w14:textId="77777777" w:rsidR="007F7395" w:rsidRDefault="00531F11" w:rsidP="007F7395">
      <w:pPr>
        <w:tabs>
          <w:tab w:val="center" w:pos="6237"/>
        </w:tabs>
        <w:rPr>
          <w:rFonts w:ascii="Garamond" w:hAnsi="Garamond"/>
        </w:rPr>
      </w:pPr>
      <w:r>
        <w:rPr>
          <w:rFonts w:ascii="Garamond" w:hAnsi="Garamond"/>
        </w:rPr>
        <w:tab/>
      </w:r>
      <w:r w:rsidR="007F7395">
        <w:rPr>
          <w:rFonts w:ascii="Garamond" w:hAnsi="Garamond"/>
        </w:rPr>
        <w:t>Il Revisore dei Conti</w:t>
      </w:r>
    </w:p>
    <w:p w14:paraId="57902E4E" w14:textId="7026F5F2" w:rsidR="007F7395" w:rsidRDefault="007F7395" w:rsidP="007F7395">
      <w:pPr>
        <w:tabs>
          <w:tab w:val="center" w:pos="6237"/>
        </w:tabs>
        <w:spacing w:after="120"/>
        <w:rPr>
          <w:rFonts w:ascii="Garamond" w:hAnsi="Garamond"/>
        </w:rPr>
      </w:pPr>
      <w:r>
        <w:rPr>
          <w:rFonts w:ascii="Garamond" w:hAnsi="Garamond"/>
        </w:rPr>
        <w:tab/>
        <w:t xml:space="preserve">Dott. </w:t>
      </w:r>
      <w:r w:rsidR="00F37F30">
        <w:rPr>
          <w:rFonts w:ascii="Garamond" w:hAnsi="Garamond"/>
        </w:rPr>
        <w:t>Marco Paolini</w:t>
      </w:r>
    </w:p>
    <w:p w14:paraId="1E4191E4" w14:textId="0735307B" w:rsidR="007F7395" w:rsidRPr="00C26009" w:rsidRDefault="007F7395" w:rsidP="00C90B00">
      <w:pPr>
        <w:tabs>
          <w:tab w:val="center" w:pos="6237"/>
        </w:tabs>
        <w:rPr>
          <w:rFonts w:ascii="Garamond" w:hAnsi="Garamond"/>
          <w:i/>
          <w:sz w:val="16"/>
          <w:szCs w:val="16"/>
        </w:rPr>
      </w:pPr>
      <w:r>
        <w:rPr>
          <w:rFonts w:ascii="Garamond" w:hAnsi="Garamond"/>
          <w:i/>
          <w:sz w:val="16"/>
          <w:szCs w:val="16"/>
        </w:rPr>
        <w:tab/>
      </w:r>
    </w:p>
    <w:p w14:paraId="7A63DBE4" w14:textId="288F1C32" w:rsidR="00531F11" w:rsidRPr="00F0058D" w:rsidRDefault="00531F11" w:rsidP="007F7395">
      <w:pPr>
        <w:tabs>
          <w:tab w:val="center" w:pos="6237"/>
        </w:tabs>
        <w:spacing w:after="120"/>
        <w:rPr>
          <w:rFonts w:ascii="Garamond" w:hAnsi="Garamond"/>
        </w:rPr>
      </w:pPr>
    </w:p>
    <w:sectPr w:rsidR="00531F11" w:rsidRPr="00F0058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00D4" w14:textId="77777777" w:rsidR="007D73A8" w:rsidRDefault="007D73A8" w:rsidP="004C0D4E">
      <w:r>
        <w:separator/>
      </w:r>
    </w:p>
  </w:endnote>
  <w:endnote w:type="continuationSeparator" w:id="0">
    <w:p w14:paraId="63BCB84E" w14:textId="77777777" w:rsidR="007D73A8" w:rsidRDefault="007D73A8" w:rsidP="004C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E06E" w14:textId="77777777" w:rsidR="007D73A8" w:rsidRDefault="007D73A8" w:rsidP="004C0D4E">
      <w:r>
        <w:separator/>
      </w:r>
    </w:p>
  </w:footnote>
  <w:footnote w:type="continuationSeparator" w:id="0">
    <w:p w14:paraId="302C40CD" w14:textId="77777777" w:rsidR="007D73A8" w:rsidRDefault="007D73A8" w:rsidP="004C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11A"/>
    <w:multiLevelType w:val="hybridMultilevel"/>
    <w:tmpl w:val="2B7A76A2"/>
    <w:lvl w:ilvl="0" w:tplc="9BF474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9D5582"/>
    <w:multiLevelType w:val="hybridMultilevel"/>
    <w:tmpl w:val="5A7E0F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2C2738"/>
    <w:multiLevelType w:val="hybridMultilevel"/>
    <w:tmpl w:val="6F72BFEA"/>
    <w:lvl w:ilvl="0" w:tplc="2E5A8DD4">
      <w:start w:val="1"/>
      <w:numFmt w:val="lowerLetter"/>
      <w:lvlText w:val="%1)"/>
      <w:lvlJc w:val="left"/>
      <w:pPr>
        <w:ind w:left="926" w:hanging="360"/>
      </w:pPr>
      <w:rPr>
        <w:rFonts w:cs="Arial" w:hint="default"/>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3" w15:restartNumberingAfterBreak="0">
    <w:nsid w:val="448B425C"/>
    <w:multiLevelType w:val="hybridMultilevel"/>
    <w:tmpl w:val="9E48BCE0"/>
    <w:lvl w:ilvl="0" w:tplc="5DAAC89C">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53B622CC"/>
    <w:multiLevelType w:val="hybridMultilevel"/>
    <w:tmpl w:val="D450B530"/>
    <w:lvl w:ilvl="0" w:tplc="9BF474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6E60C9D"/>
    <w:multiLevelType w:val="hybridMultilevel"/>
    <w:tmpl w:val="34B2DBEE"/>
    <w:lvl w:ilvl="0" w:tplc="9BF474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81351742">
    <w:abstractNumId w:val="3"/>
  </w:num>
  <w:num w:numId="2" w16cid:durableId="535000085">
    <w:abstractNumId w:val="5"/>
  </w:num>
  <w:num w:numId="3" w16cid:durableId="1712800984">
    <w:abstractNumId w:val="1"/>
  </w:num>
  <w:num w:numId="4" w16cid:durableId="791285368">
    <w:abstractNumId w:val="4"/>
  </w:num>
  <w:num w:numId="5" w16cid:durableId="1621567077">
    <w:abstractNumId w:val="2"/>
  </w:num>
  <w:num w:numId="6" w16cid:durableId="161798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4E"/>
    <w:rsid w:val="00015412"/>
    <w:rsid w:val="00045C33"/>
    <w:rsid w:val="00094528"/>
    <w:rsid w:val="00225ACE"/>
    <w:rsid w:val="002A6375"/>
    <w:rsid w:val="0030275F"/>
    <w:rsid w:val="00305497"/>
    <w:rsid w:val="00446AE1"/>
    <w:rsid w:val="004A1DF5"/>
    <w:rsid w:val="004C0D4E"/>
    <w:rsid w:val="00531F11"/>
    <w:rsid w:val="0055137A"/>
    <w:rsid w:val="005953AB"/>
    <w:rsid w:val="00694744"/>
    <w:rsid w:val="006A74C9"/>
    <w:rsid w:val="006B6E8C"/>
    <w:rsid w:val="006D4337"/>
    <w:rsid w:val="007D62A6"/>
    <w:rsid w:val="007D73A8"/>
    <w:rsid w:val="007F7395"/>
    <w:rsid w:val="008A6B2B"/>
    <w:rsid w:val="008B3BDC"/>
    <w:rsid w:val="008E27B3"/>
    <w:rsid w:val="00901922"/>
    <w:rsid w:val="00957AB5"/>
    <w:rsid w:val="00A266E6"/>
    <w:rsid w:val="00B36AEF"/>
    <w:rsid w:val="00B7602F"/>
    <w:rsid w:val="00BB25C3"/>
    <w:rsid w:val="00C90B00"/>
    <w:rsid w:val="00D27A74"/>
    <w:rsid w:val="00D60703"/>
    <w:rsid w:val="00DD6011"/>
    <w:rsid w:val="00DF0070"/>
    <w:rsid w:val="00DF0F1C"/>
    <w:rsid w:val="00E873BB"/>
    <w:rsid w:val="00F0058D"/>
    <w:rsid w:val="00F37F30"/>
    <w:rsid w:val="00FB6A14"/>
    <w:rsid w:val="00FC51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941F0"/>
  <w15:chartTrackingRefBased/>
  <w15:docId w15:val="{1D21612B-2A84-43D1-9F7C-D2BB71C8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0D4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4C0D4E"/>
    <w:pPr>
      <w:keepNext/>
      <w:jc w:val="center"/>
      <w:outlineLvl w:val="0"/>
    </w:pPr>
    <w:rPr>
      <w:b/>
      <w:bCs/>
    </w:rPr>
  </w:style>
  <w:style w:type="paragraph" w:styleId="Titolo2">
    <w:name w:val="heading 2"/>
    <w:basedOn w:val="Normale"/>
    <w:next w:val="Normale"/>
    <w:link w:val="Titolo2Carattere"/>
    <w:qFormat/>
    <w:rsid w:val="004C0D4E"/>
    <w:pPr>
      <w:keepNext/>
      <w:jc w:val="center"/>
      <w:outlineLvl w:val="1"/>
    </w:pPr>
    <w:rPr>
      <w:i/>
      <w:iCs/>
    </w:rPr>
  </w:style>
  <w:style w:type="paragraph" w:styleId="Titolo3">
    <w:name w:val="heading 3"/>
    <w:basedOn w:val="Normale"/>
    <w:next w:val="Normale"/>
    <w:link w:val="Titolo3Carattere"/>
    <w:qFormat/>
    <w:rsid w:val="004C0D4E"/>
    <w:pPr>
      <w:keepNext/>
      <w:jc w:val="center"/>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C0D4E"/>
    <w:rPr>
      <w:rFonts w:ascii="Times New Roman" w:eastAsia="Times New Roman" w:hAnsi="Times New Roman" w:cs="Times New Roman"/>
      <w:b/>
      <w:bCs/>
      <w:sz w:val="24"/>
      <w:szCs w:val="24"/>
      <w:lang w:eastAsia="it-IT"/>
    </w:rPr>
  </w:style>
  <w:style w:type="character" w:customStyle="1" w:styleId="Titolo2Carattere">
    <w:name w:val="Titolo 2 Carattere"/>
    <w:basedOn w:val="Carpredefinitoparagrafo"/>
    <w:link w:val="Titolo2"/>
    <w:rsid w:val="004C0D4E"/>
    <w:rPr>
      <w:rFonts w:ascii="Times New Roman" w:eastAsia="Times New Roman" w:hAnsi="Times New Roman" w:cs="Times New Roman"/>
      <w:i/>
      <w:iCs/>
      <w:sz w:val="24"/>
      <w:szCs w:val="24"/>
      <w:lang w:eastAsia="it-IT"/>
    </w:rPr>
  </w:style>
  <w:style w:type="character" w:customStyle="1" w:styleId="Titolo3Carattere">
    <w:name w:val="Titolo 3 Carattere"/>
    <w:basedOn w:val="Carpredefinitoparagrafo"/>
    <w:link w:val="Titolo3"/>
    <w:rsid w:val="004C0D4E"/>
    <w:rPr>
      <w:rFonts w:ascii="Times New Roman" w:eastAsia="Times New Roman" w:hAnsi="Times New Roman" w:cs="Times New Roman"/>
      <w:sz w:val="28"/>
      <w:szCs w:val="24"/>
      <w:lang w:eastAsia="it-IT"/>
    </w:rPr>
  </w:style>
  <w:style w:type="paragraph" w:styleId="Corpodeltesto2">
    <w:name w:val="Body Text 2"/>
    <w:basedOn w:val="Normale"/>
    <w:link w:val="Corpodeltesto2Carattere"/>
    <w:semiHidden/>
    <w:rsid w:val="004C0D4E"/>
    <w:pPr>
      <w:jc w:val="both"/>
    </w:pPr>
  </w:style>
  <w:style w:type="character" w:customStyle="1" w:styleId="Corpodeltesto2Carattere">
    <w:name w:val="Corpo del testo 2 Carattere"/>
    <w:basedOn w:val="Carpredefinitoparagrafo"/>
    <w:link w:val="Corpodeltesto2"/>
    <w:semiHidden/>
    <w:rsid w:val="004C0D4E"/>
    <w:rPr>
      <w:rFonts w:ascii="Times New Roman" w:eastAsia="Times New Roman" w:hAnsi="Times New Roman" w:cs="Times New Roman"/>
      <w:sz w:val="24"/>
      <w:szCs w:val="24"/>
      <w:lang w:eastAsia="it-IT"/>
    </w:rPr>
  </w:style>
  <w:style w:type="paragraph" w:styleId="Pidipagina">
    <w:name w:val="footer"/>
    <w:basedOn w:val="Normale"/>
    <w:link w:val="PidipaginaCarattere"/>
    <w:rsid w:val="004C0D4E"/>
    <w:pPr>
      <w:tabs>
        <w:tab w:val="center" w:pos="4819"/>
        <w:tab w:val="right" w:pos="9638"/>
      </w:tabs>
    </w:pPr>
  </w:style>
  <w:style w:type="character" w:customStyle="1" w:styleId="PidipaginaCarattere">
    <w:name w:val="Piè di pagina Carattere"/>
    <w:basedOn w:val="Carpredefinitoparagrafo"/>
    <w:link w:val="Pidipagina"/>
    <w:rsid w:val="004C0D4E"/>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4C0D4E"/>
    <w:pPr>
      <w:tabs>
        <w:tab w:val="center" w:pos="4819"/>
        <w:tab w:val="right" w:pos="9638"/>
      </w:tabs>
    </w:pPr>
  </w:style>
  <w:style w:type="character" w:customStyle="1" w:styleId="IntestazioneCarattere">
    <w:name w:val="Intestazione Carattere"/>
    <w:basedOn w:val="Carpredefinitoparagrafo"/>
    <w:link w:val="Intestazione"/>
    <w:uiPriority w:val="99"/>
    <w:rsid w:val="004C0D4E"/>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0275F"/>
    <w:pPr>
      <w:ind w:left="720"/>
      <w:contextualSpacing/>
    </w:pPr>
  </w:style>
  <w:style w:type="paragraph" w:styleId="Testofumetto">
    <w:name w:val="Balloon Text"/>
    <w:basedOn w:val="Normale"/>
    <w:link w:val="TestofumettoCarattere"/>
    <w:uiPriority w:val="99"/>
    <w:semiHidden/>
    <w:unhideWhenUsed/>
    <w:rsid w:val="00B7602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602F"/>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497</Words>
  <Characters>2837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dc:creator>
  <cp:keywords/>
  <dc:description/>
  <cp:lastModifiedBy>Alessio Conforti</cp:lastModifiedBy>
  <cp:revision>26</cp:revision>
  <cp:lastPrinted>2017-07-19T06:59:00Z</cp:lastPrinted>
  <dcterms:created xsi:type="dcterms:W3CDTF">2017-07-10T07:25:00Z</dcterms:created>
  <dcterms:modified xsi:type="dcterms:W3CDTF">2025-07-10T12:33:00Z</dcterms:modified>
</cp:coreProperties>
</file>